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Theme="majorEastAsia" w:hAnsiTheme="majorEastAsia" w:eastAsiaTheme="majorEastAsia" w:cstheme="majorEastAsia"/>
          <w:b/>
          <w:bCs/>
          <w:color w:val="auto"/>
          <w:kern w:val="0"/>
          <w:sz w:val="36"/>
          <w:szCs w:val="36"/>
          <w:highlight w:val="none"/>
          <w:lang w:val="en-US" w:eastAsia="zh-CN"/>
        </w:rPr>
      </w:pPr>
      <w:r>
        <w:rPr>
          <w:rFonts w:hint="eastAsia" w:asciiTheme="majorEastAsia" w:hAnsiTheme="majorEastAsia" w:eastAsiaTheme="majorEastAsia" w:cstheme="majorEastAsia"/>
          <w:b/>
          <w:bCs/>
          <w:color w:val="auto"/>
          <w:kern w:val="0"/>
          <w:sz w:val="36"/>
          <w:szCs w:val="36"/>
          <w:highlight w:val="none"/>
        </w:rPr>
        <w:t>安阳市中医院</w:t>
      </w:r>
      <w:r>
        <w:rPr>
          <w:rFonts w:hint="eastAsia" w:asciiTheme="majorEastAsia" w:hAnsiTheme="majorEastAsia" w:eastAsiaTheme="majorEastAsia" w:cstheme="majorEastAsia"/>
          <w:b/>
          <w:bCs/>
          <w:color w:val="auto"/>
          <w:kern w:val="0"/>
          <w:sz w:val="36"/>
          <w:szCs w:val="36"/>
          <w:highlight w:val="none"/>
          <w:lang w:eastAsia="zh-CN"/>
        </w:rPr>
        <w:t>重症医学科医用吊塔</w:t>
      </w:r>
      <w:r>
        <w:rPr>
          <w:rFonts w:hint="eastAsia" w:asciiTheme="majorEastAsia" w:hAnsiTheme="majorEastAsia" w:eastAsiaTheme="majorEastAsia" w:cstheme="majorEastAsia"/>
          <w:b/>
          <w:bCs/>
          <w:color w:val="auto"/>
          <w:kern w:val="0"/>
          <w:sz w:val="36"/>
          <w:szCs w:val="36"/>
          <w:highlight w:val="none"/>
          <w:lang w:val="en-US" w:eastAsia="zh-CN"/>
        </w:rPr>
        <w:t>4套</w:t>
      </w:r>
    </w:p>
    <w:p>
      <w:pPr>
        <w:ind w:firstLine="600"/>
        <w:jc w:val="center"/>
        <w:rPr>
          <w:rFonts w:hint="eastAsia" w:ascii="宋体" w:hAnsi="宋体" w:cs="宋体" w:eastAsiaTheme="majorEastAsia"/>
          <w:b/>
          <w:bCs/>
          <w:color w:val="auto"/>
          <w:kern w:val="0"/>
          <w:sz w:val="36"/>
          <w:szCs w:val="36"/>
          <w:highlight w:val="none"/>
          <w:lang w:eastAsia="zh-CN"/>
        </w:rPr>
      </w:pPr>
      <w:r>
        <w:rPr>
          <w:rFonts w:hint="eastAsia" w:asciiTheme="majorEastAsia" w:hAnsiTheme="majorEastAsia" w:eastAsiaTheme="majorEastAsia" w:cstheme="majorEastAsia"/>
          <w:b/>
          <w:bCs/>
          <w:color w:val="auto"/>
          <w:kern w:val="0"/>
          <w:sz w:val="36"/>
          <w:szCs w:val="36"/>
          <w:highlight w:val="none"/>
          <w:lang w:val="en-US" w:eastAsia="zh-CN"/>
        </w:rPr>
        <w:t>采购</w:t>
      </w:r>
      <w:r>
        <w:rPr>
          <w:rFonts w:hint="eastAsia" w:asciiTheme="majorEastAsia" w:hAnsiTheme="majorEastAsia" w:eastAsiaTheme="majorEastAsia" w:cstheme="majorEastAsia"/>
          <w:b/>
          <w:bCs/>
          <w:color w:val="auto"/>
          <w:kern w:val="0"/>
          <w:sz w:val="36"/>
          <w:szCs w:val="36"/>
          <w:highlight w:val="none"/>
        </w:rPr>
        <w:t>项目</w:t>
      </w:r>
      <w:r>
        <w:rPr>
          <w:rFonts w:hint="eastAsia" w:asciiTheme="majorEastAsia" w:hAnsiTheme="majorEastAsia" w:eastAsiaTheme="majorEastAsia" w:cstheme="majorEastAsia"/>
          <w:b/>
          <w:bCs/>
          <w:color w:val="auto"/>
          <w:kern w:val="0"/>
          <w:sz w:val="36"/>
          <w:szCs w:val="36"/>
          <w:highlight w:val="none"/>
          <w:lang w:eastAsia="zh-CN"/>
        </w:rPr>
        <w:t>（二次）</w:t>
      </w: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rPr>
          <w:rFonts w:hint="eastAsia" w:ascii="宋体" w:hAnsi="宋体" w:eastAsia="宋体" w:cs="宋体"/>
          <w:b/>
          <w:bCs/>
          <w:color w:val="auto"/>
          <w:kern w:val="0"/>
          <w:sz w:val="36"/>
          <w:szCs w:val="36"/>
          <w:highlight w:val="none"/>
        </w:rPr>
      </w:pPr>
    </w:p>
    <w:p>
      <w:pPr>
        <w:pStyle w:val="2"/>
        <w:spacing w:after="0"/>
        <w:jc w:val="center"/>
        <w:rPr>
          <w:rFonts w:hint="eastAsia" w:ascii="宋体" w:hAnsi="宋体" w:cs="宋体"/>
          <w:b w:val="0"/>
          <w:bCs w:val="0"/>
          <w:color w:val="auto"/>
          <w:kern w:val="0"/>
          <w:sz w:val="72"/>
          <w:szCs w:val="72"/>
          <w:highlight w:val="none"/>
          <w:lang w:val="en-US" w:eastAsia="zh-CN"/>
        </w:rPr>
      </w:pPr>
      <w:r>
        <w:rPr>
          <w:rFonts w:hint="eastAsia" w:ascii="宋体" w:hAnsi="宋体" w:cs="宋体"/>
          <w:b w:val="0"/>
          <w:bCs w:val="0"/>
          <w:color w:val="auto"/>
          <w:kern w:val="0"/>
          <w:sz w:val="72"/>
          <w:szCs w:val="72"/>
          <w:highlight w:val="none"/>
          <w:lang w:val="en-US" w:eastAsia="zh-CN"/>
        </w:rPr>
        <w:t>谈判文件</w:t>
      </w:r>
    </w:p>
    <w:p>
      <w:pPr>
        <w:pStyle w:val="2"/>
        <w:jc w:val="center"/>
        <w:rPr>
          <w:rFonts w:hint="eastAsia" w:ascii="宋体" w:hAnsi="宋体" w:cs="宋体"/>
          <w:b/>
          <w:bCs/>
          <w:color w:val="auto"/>
          <w:kern w:val="0"/>
          <w:sz w:val="36"/>
          <w:szCs w:val="36"/>
          <w:highlight w:val="none"/>
          <w:lang w:val="en-US" w:eastAsia="zh-CN"/>
        </w:rPr>
      </w:pPr>
    </w:p>
    <w:p>
      <w:pPr>
        <w:pStyle w:val="2"/>
        <w:jc w:val="center"/>
        <w:rPr>
          <w:rFonts w:hint="default"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采购编号：AYSZYY-20230103-02</w:t>
      </w: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rPr>
          <w:rFonts w:hint="default" w:ascii="宋体" w:hAnsi="宋体" w:cs="宋体"/>
          <w:b/>
          <w:bCs/>
          <w:color w:val="auto"/>
          <w:kern w:val="0"/>
          <w:sz w:val="36"/>
          <w:szCs w:val="36"/>
          <w:highlight w:val="none"/>
          <w:lang w:val="en-US" w:eastAsia="zh-CN"/>
        </w:rPr>
      </w:pPr>
    </w:p>
    <w:p>
      <w:pPr>
        <w:pStyle w:val="2"/>
        <w:ind w:firstLine="2168" w:firstLineChars="600"/>
        <w:rPr>
          <w:rFonts w:hint="eastAsia" w:ascii="宋体" w:hAnsi="宋体" w:eastAsia="宋体" w:cs="宋体"/>
          <w:b/>
          <w:bCs/>
          <w:color w:val="auto"/>
          <w:kern w:val="0"/>
          <w:sz w:val="36"/>
          <w:szCs w:val="36"/>
          <w:highlight w:val="none"/>
        </w:rPr>
      </w:pPr>
      <w:r>
        <w:rPr>
          <w:rFonts w:hint="eastAsia" w:ascii="宋体" w:hAnsi="宋体" w:cs="宋体"/>
          <w:b/>
          <w:bCs/>
          <w:color w:val="auto"/>
          <w:kern w:val="0"/>
          <w:sz w:val="36"/>
          <w:szCs w:val="36"/>
          <w:highlight w:val="none"/>
          <w:lang w:val="en-US" w:eastAsia="zh-CN"/>
        </w:rPr>
        <w:t>招标人：</w:t>
      </w:r>
      <w:r>
        <w:rPr>
          <w:rFonts w:hint="eastAsia" w:ascii="宋体" w:hAnsi="宋体" w:eastAsia="宋体" w:cs="宋体"/>
          <w:b/>
          <w:bCs/>
          <w:color w:val="auto"/>
          <w:kern w:val="0"/>
          <w:sz w:val="36"/>
          <w:szCs w:val="36"/>
          <w:highlight w:val="none"/>
        </w:rPr>
        <w:t>安阳市中医院</w:t>
      </w:r>
    </w:p>
    <w:p>
      <w:pPr>
        <w:pStyle w:val="2"/>
        <w:ind w:firstLine="2168" w:firstLineChars="600"/>
        <w:rPr>
          <w:rFonts w:hint="default" w:ascii="宋体" w:hAnsi="宋体" w:eastAsia="宋体" w:cs="宋体"/>
          <w:b/>
          <w:bCs/>
          <w:color w:val="auto"/>
          <w:kern w:val="0"/>
          <w:sz w:val="36"/>
          <w:szCs w:val="36"/>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
          <w:bCs/>
          <w:color w:val="auto"/>
          <w:kern w:val="0"/>
          <w:sz w:val="36"/>
          <w:szCs w:val="36"/>
          <w:highlight w:val="none"/>
          <w:lang w:val="en-US" w:eastAsia="zh-CN"/>
        </w:rPr>
        <w:t>日  期：2023年01月</w:t>
      </w:r>
    </w:p>
    <w:p>
      <w:pPr>
        <w:ind w:firstLine="600"/>
        <w:jc w:val="center"/>
        <w:rPr>
          <w:rFonts w:hint="eastAsia" w:ascii="宋体" w:hAnsi="宋体" w:eastAsia="宋体" w:cs="宋体"/>
          <w:b/>
          <w:bCs/>
          <w:color w:val="auto"/>
          <w:kern w:val="0"/>
          <w:sz w:val="32"/>
          <w:szCs w:val="32"/>
          <w:highlight w:val="none"/>
          <w:lang w:eastAsia="zh-CN"/>
        </w:rPr>
      </w:pPr>
      <w:r>
        <w:rPr>
          <w:rFonts w:hint="eastAsia" w:ascii="宋体" w:hAnsi="宋体" w:eastAsia="宋体" w:cs="宋体"/>
          <w:b/>
          <w:bCs/>
          <w:color w:val="auto"/>
          <w:kern w:val="0"/>
          <w:sz w:val="32"/>
          <w:szCs w:val="32"/>
          <w:highlight w:val="none"/>
        </w:rPr>
        <w:t>安阳市中医院</w:t>
      </w:r>
      <w:r>
        <w:rPr>
          <w:rFonts w:hint="eastAsia" w:ascii="宋体" w:hAnsi="宋体" w:eastAsia="宋体" w:cs="宋体"/>
          <w:b/>
          <w:bCs/>
          <w:color w:val="auto"/>
          <w:kern w:val="0"/>
          <w:sz w:val="32"/>
          <w:szCs w:val="32"/>
          <w:highlight w:val="none"/>
          <w:lang w:eastAsia="zh-CN"/>
        </w:rPr>
        <w:t>重症医学科医用吊塔</w:t>
      </w:r>
      <w:r>
        <w:rPr>
          <w:rFonts w:hint="eastAsia" w:ascii="宋体" w:hAnsi="宋体" w:eastAsia="宋体" w:cs="宋体"/>
          <w:b/>
          <w:bCs/>
          <w:color w:val="auto"/>
          <w:kern w:val="0"/>
          <w:sz w:val="32"/>
          <w:szCs w:val="32"/>
          <w:highlight w:val="none"/>
          <w:lang w:val="en-US" w:eastAsia="zh-CN"/>
        </w:rPr>
        <w:t>4套</w:t>
      </w:r>
      <w:r>
        <w:rPr>
          <w:rFonts w:hint="eastAsia" w:ascii="宋体" w:hAnsi="宋体" w:eastAsia="宋体" w:cs="宋体"/>
          <w:b/>
          <w:bCs/>
          <w:color w:val="auto"/>
          <w:kern w:val="0"/>
          <w:sz w:val="32"/>
          <w:szCs w:val="32"/>
          <w:highlight w:val="none"/>
        </w:rPr>
        <w:t>采购项目</w:t>
      </w:r>
      <w:r>
        <w:rPr>
          <w:rFonts w:hint="eastAsia" w:ascii="宋体" w:hAnsi="宋体" w:eastAsia="宋体" w:cs="宋体"/>
          <w:b/>
          <w:bCs/>
          <w:color w:val="auto"/>
          <w:kern w:val="0"/>
          <w:sz w:val="32"/>
          <w:szCs w:val="32"/>
          <w:highlight w:val="none"/>
          <w:lang w:eastAsia="zh-CN"/>
        </w:rPr>
        <w:t>（二次）</w:t>
      </w:r>
    </w:p>
    <w:p>
      <w:pPr>
        <w:ind w:firstLine="600"/>
        <w:jc w:val="center"/>
        <w:rPr>
          <w:color w:val="auto"/>
          <w:szCs w:val="30"/>
          <w:highlight w:val="none"/>
        </w:rPr>
      </w:pPr>
      <w:r>
        <w:rPr>
          <w:rFonts w:hint="eastAsia" w:ascii="宋体" w:hAnsi="宋体" w:eastAsia="宋体" w:cs="宋体"/>
          <w:b/>
          <w:bCs/>
          <w:color w:val="auto"/>
          <w:kern w:val="0"/>
          <w:sz w:val="32"/>
          <w:szCs w:val="32"/>
          <w:highlight w:val="none"/>
        </w:rPr>
        <w:t>竞争性谈判公告</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w:t>
      </w:r>
      <w:r>
        <w:rPr>
          <w:rFonts w:hint="eastAsia" w:ascii="仿宋" w:hAnsi="仿宋" w:eastAsia="仿宋" w:cstheme="minorEastAsia"/>
          <w:color w:val="auto"/>
          <w:kern w:val="0"/>
          <w:sz w:val="21"/>
          <w:szCs w:val="21"/>
          <w:highlight w:val="none"/>
          <w:lang w:eastAsia="zh-CN"/>
        </w:rPr>
        <w:t>（二次）</w:t>
      </w:r>
      <w:r>
        <w:rPr>
          <w:rFonts w:hint="eastAsia" w:ascii="仿宋" w:hAnsi="仿宋" w:eastAsia="仿宋" w:cstheme="minorEastAsia"/>
          <w:color w:val="auto"/>
          <w:kern w:val="0"/>
          <w:sz w:val="21"/>
          <w:szCs w:val="21"/>
          <w:highlight w:val="none"/>
        </w:rPr>
        <w:t>已经相关部门批准，资金来源为自筹资金。采购人为安阳市中医院。采购项目以竞争性谈判方式择优选定供应商。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eastAsia="zh-CN"/>
        </w:rPr>
        <w:t>重症医学科医用吊塔</w:t>
      </w:r>
      <w:r>
        <w:rPr>
          <w:rFonts w:hint="eastAsia" w:ascii="仿宋" w:hAnsi="仿宋" w:eastAsia="仿宋" w:cstheme="minorEastAsia"/>
          <w:color w:val="auto"/>
          <w:kern w:val="0"/>
          <w:sz w:val="21"/>
          <w:szCs w:val="21"/>
          <w:highlight w:val="none"/>
          <w:lang w:val="en-US" w:eastAsia="zh-CN"/>
        </w:rPr>
        <w:t>4套</w:t>
      </w:r>
      <w:r>
        <w:rPr>
          <w:rFonts w:hint="eastAsia" w:ascii="仿宋" w:hAnsi="仿宋" w:eastAsia="仿宋" w:cstheme="minorEastAsia"/>
          <w:color w:val="auto"/>
          <w:kern w:val="0"/>
          <w:sz w:val="21"/>
          <w:szCs w:val="21"/>
          <w:highlight w:val="none"/>
        </w:rPr>
        <w:t>采购项目</w:t>
      </w:r>
      <w:r>
        <w:rPr>
          <w:rFonts w:hint="eastAsia" w:ascii="仿宋" w:hAnsi="仿宋" w:eastAsia="仿宋" w:cstheme="minorEastAsia"/>
          <w:color w:val="auto"/>
          <w:kern w:val="0"/>
          <w:sz w:val="21"/>
          <w:szCs w:val="21"/>
          <w:highlight w:val="none"/>
          <w:lang w:eastAsia="zh-CN"/>
        </w:rPr>
        <w:t>（二次）</w:t>
      </w:r>
      <w:r>
        <w:rPr>
          <w:rFonts w:hint="eastAsia" w:ascii="仿宋" w:hAnsi="仿宋" w:eastAsia="仿宋" w:cstheme="minorEastAsia"/>
          <w:color w:val="auto"/>
          <w:kern w:val="0"/>
          <w:sz w:val="21"/>
          <w:szCs w:val="21"/>
          <w:highlight w:val="none"/>
        </w:rPr>
        <w:t>。</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rPr>
        <w:t>2.2 项目编号：AYSZYY-202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103</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val="en-US" w:eastAsia="zh-CN"/>
        </w:rPr>
        <w:t>2</w:t>
      </w:r>
    </w:p>
    <w:p>
      <w:pPr>
        <w:widowControl/>
        <w:spacing w:line="360" w:lineRule="auto"/>
        <w:ind w:firstLine="527" w:firstLineChars="251"/>
        <w:jc w:val="left"/>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采购预算：</w:t>
      </w:r>
      <w:r>
        <w:rPr>
          <w:rFonts w:hint="eastAsia" w:ascii="仿宋" w:hAnsi="仿宋" w:eastAsia="仿宋" w:cstheme="minorEastAsia"/>
          <w:color w:val="auto"/>
          <w:kern w:val="0"/>
          <w:sz w:val="21"/>
          <w:szCs w:val="21"/>
          <w:highlight w:val="none"/>
          <w:lang w:eastAsia="zh-CN"/>
        </w:rPr>
        <w:t>约</w:t>
      </w:r>
      <w:r>
        <w:rPr>
          <w:rFonts w:hint="eastAsia" w:ascii="仿宋" w:hAnsi="仿宋" w:eastAsia="仿宋" w:cstheme="minorEastAsia"/>
          <w:color w:val="auto"/>
          <w:kern w:val="0"/>
          <w:sz w:val="21"/>
          <w:szCs w:val="21"/>
          <w:highlight w:val="none"/>
          <w:lang w:val="en-US" w:eastAsia="zh-CN"/>
        </w:rPr>
        <w:t>96000</w:t>
      </w:r>
      <w:r>
        <w:rPr>
          <w:rFonts w:hint="eastAsia" w:ascii="仿宋" w:hAnsi="仿宋" w:eastAsia="仿宋" w:cstheme="minorEastAsia"/>
          <w:color w:val="auto"/>
          <w:kern w:val="0"/>
          <w:sz w:val="21"/>
          <w:szCs w:val="21"/>
          <w:highlight w:val="none"/>
        </w:rPr>
        <w:t>元</w:t>
      </w:r>
      <w:r>
        <w:rPr>
          <w:rFonts w:hint="eastAsia" w:ascii="仿宋" w:hAnsi="仿宋" w:eastAsia="仿宋" w:cstheme="minorEastAsia"/>
          <w:color w:val="auto"/>
          <w:kern w:val="0"/>
          <w:sz w:val="21"/>
          <w:szCs w:val="21"/>
          <w:highlight w:val="none"/>
          <w:lang w:val="en-US" w:eastAsia="zh-CN"/>
        </w:rPr>
        <w:t>。</w:t>
      </w:r>
    </w:p>
    <w:p>
      <w:pPr>
        <w:widowControl/>
        <w:spacing w:line="360" w:lineRule="auto"/>
        <w:ind w:firstLine="525" w:firstLineChars="250"/>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 xml:space="preserve">2.4 </w:t>
      </w:r>
      <w:r>
        <w:rPr>
          <w:rFonts w:hint="eastAsia" w:ascii="仿宋" w:hAnsi="仿宋" w:eastAsia="仿宋" w:cs="宋体"/>
          <w:color w:val="auto"/>
          <w:sz w:val="21"/>
          <w:szCs w:val="21"/>
          <w:highlight w:val="none"/>
        </w:rPr>
        <w:t>资金来源：自筹资金。</w:t>
      </w:r>
    </w:p>
    <w:p>
      <w:pPr>
        <w:widowControl/>
        <w:spacing w:line="360" w:lineRule="auto"/>
        <w:ind w:firstLine="527" w:firstLineChars="251"/>
        <w:rPr>
          <w:rFonts w:hint="default"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5 保修期：2年</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6</w:t>
      </w:r>
      <w:r>
        <w:rPr>
          <w:rFonts w:hint="eastAsia" w:ascii="仿宋" w:hAnsi="仿宋" w:eastAsia="仿宋" w:cstheme="minorEastAsia"/>
          <w:color w:val="auto"/>
          <w:kern w:val="0"/>
          <w:sz w:val="21"/>
          <w:szCs w:val="21"/>
          <w:highlight w:val="none"/>
        </w:rPr>
        <w:t>质量要求：符合国家或行业规定的合格标准，满足采购人提出的技术标准及要求。</w:t>
      </w:r>
    </w:p>
    <w:p>
      <w:pPr>
        <w:spacing w:line="360" w:lineRule="auto"/>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w:t>
      </w:r>
      <w:r>
        <w:rPr>
          <w:rFonts w:hint="eastAsia" w:ascii="仿宋" w:hAnsi="仿宋" w:eastAsia="仿宋" w:cstheme="minorEastAsia"/>
          <w:color w:val="auto"/>
          <w:kern w:val="0"/>
          <w:sz w:val="21"/>
          <w:szCs w:val="21"/>
          <w:highlight w:val="none"/>
          <w:lang w:val="en-US" w:eastAsia="zh-CN"/>
        </w:rPr>
        <w:t xml:space="preserve">    </w:t>
      </w: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7</w:t>
      </w:r>
      <w:r>
        <w:rPr>
          <w:rFonts w:hint="eastAsia" w:ascii="仿宋" w:hAnsi="仿宋" w:eastAsia="仿宋" w:cstheme="minorEastAsia"/>
          <w:color w:val="auto"/>
          <w:kern w:val="0"/>
          <w:sz w:val="21"/>
          <w:szCs w:val="21"/>
          <w:highlight w:val="none"/>
          <w:lang w:eastAsia="zh-CN"/>
        </w:rPr>
        <w:t>交验</w:t>
      </w:r>
      <w:r>
        <w:rPr>
          <w:rFonts w:hint="eastAsia" w:ascii="仿宋" w:hAnsi="仿宋" w:eastAsia="仿宋" w:cstheme="minorEastAsia"/>
          <w:color w:val="auto"/>
          <w:kern w:val="0"/>
          <w:sz w:val="21"/>
          <w:szCs w:val="21"/>
          <w:highlight w:val="none"/>
        </w:rPr>
        <w:t>期：2023</w:t>
      </w:r>
      <w:r>
        <w:rPr>
          <w:rFonts w:hint="eastAsia" w:ascii="仿宋" w:hAnsi="仿宋" w:eastAsia="仿宋" w:cstheme="minorEastAsia"/>
          <w:color w:val="auto"/>
          <w:kern w:val="0"/>
          <w:sz w:val="21"/>
          <w:szCs w:val="21"/>
          <w:highlight w:val="none"/>
          <w:lang w:eastAsia="zh-CN"/>
        </w:rPr>
        <w:t>年</w:t>
      </w:r>
      <w:r>
        <w:rPr>
          <w:rFonts w:hint="eastAsia" w:ascii="仿宋" w:hAnsi="仿宋" w:eastAsia="仿宋" w:cstheme="minorEastAsia"/>
          <w:color w:val="auto"/>
          <w:kern w:val="0"/>
          <w:sz w:val="21"/>
          <w:szCs w:val="21"/>
          <w:highlight w:val="none"/>
        </w:rPr>
        <w:t>1</w:t>
      </w:r>
      <w:r>
        <w:rPr>
          <w:rFonts w:hint="eastAsia" w:ascii="仿宋" w:hAnsi="仿宋" w:eastAsia="仿宋" w:cstheme="minorEastAsia"/>
          <w:color w:val="auto"/>
          <w:kern w:val="0"/>
          <w:sz w:val="21"/>
          <w:szCs w:val="21"/>
          <w:highlight w:val="none"/>
          <w:lang w:eastAsia="zh-CN"/>
        </w:rPr>
        <w:t>月</w:t>
      </w:r>
      <w:r>
        <w:rPr>
          <w:rFonts w:hint="eastAsia" w:ascii="仿宋" w:hAnsi="仿宋" w:eastAsia="仿宋" w:cstheme="minorEastAsia"/>
          <w:color w:val="auto"/>
          <w:kern w:val="0"/>
          <w:sz w:val="21"/>
          <w:szCs w:val="21"/>
          <w:highlight w:val="none"/>
        </w:rPr>
        <w:t>22</w:t>
      </w:r>
      <w:r>
        <w:rPr>
          <w:rFonts w:hint="eastAsia" w:ascii="仿宋" w:hAnsi="仿宋" w:eastAsia="仿宋" w:cstheme="minorEastAsia"/>
          <w:color w:val="auto"/>
          <w:kern w:val="0"/>
          <w:sz w:val="21"/>
          <w:szCs w:val="21"/>
          <w:highlight w:val="none"/>
          <w:lang w:eastAsia="zh-CN"/>
        </w:rPr>
        <w:t>日</w:t>
      </w:r>
      <w:r>
        <w:rPr>
          <w:rFonts w:hint="eastAsia" w:ascii="仿宋" w:hAnsi="仿宋" w:eastAsia="仿宋" w:cstheme="minorEastAsia"/>
          <w:color w:val="auto"/>
          <w:kern w:val="0"/>
          <w:sz w:val="21"/>
          <w:szCs w:val="21"/>
          <w:highlight w:val="none"/>
        </w:rPr>
        <w:t>前完工。</w:t>
      </w:r>
    </w:p>
    <w:p>
      <w:pPr>
        <w:widowControl/>
        <w:spacing w:line="360" w:lineRule="auto"/>
        <w:ind w:firstLine="527" w:firstLineChars="251"/>
        <w:jc w:val="left"/>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采购技术</w:t>
      </w:r>
      <w:r>
        <w:rPr>
          <w:rFonts w:hint="eastAsia" w:ascii="仿宋" w:hAnsi="仿宋" w:eastAsia="仿宋" w:cstheme="minorEastAsia"/>
          <w:color w:val="auto"/>
          <w:kern w:val="0"/>
          <w:sz w:val="21"/>
          <w:szCs w:val="21"/>
          <w:highlight w:val="none"/>
          <w:lang w:eastAsia="zh-CN"/>
        </w:rPr>
        <w:t>参数</w:t>
      </w:r>
      <w:r>
        <w:rPr>
          <w:rFonts w:hint="eastAsia" w:ascii="仿宋" w:hAnsi="仿宋" w:eastAsia="仿宋" w:cstheme="minorEastAsia"/>
          <w:color w:val="auto"/>
          <w:kern w:val="0"/>
          <w:sz w:val="21"/>
          <w:szCs w:val="21"/>
          <w:highlight w:val="none"/>
        </w:rPr>
        <w:t>要求：</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ICU新装4套吊塔，采用横塔吊桥安装方式，附带一个吊架。长度总计7米，吊桥距地面1.8米。内置氧气、负压、市电（含地线）和照明功能。主要用于对重症病人的抢救工作。</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单套吊塔配置清单：</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1、氧气终端（国标）：2个；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2、负压终端（国标）：2个；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3、五孔插座（国标）：6个；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4、漏电保护器：1个；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5、输液吊杆：1个；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6、吊架（含抽屉1个）：1个；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7、LED开关：1个，LED灯：2个。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8、氧气阀门：1个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9、等电位：1个</w:t>
      </w:r>
    </w:p>
    <w:p>
      <w:pPr>
        <w:widowControl/>
        <w:spacing w:line="360" w:lineRule="auto"/>
        <w:ind w:firstLine="527" w:firstLineChars="251"/>
        <w:rPr>
          <w:rFonts w:hint="eastAsia"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医用吊塔的安装，应符合医疗器械和医用吊塔的国家标准，行业标准，保证设备安全，按照行业规范安装施工，采用双氧双吸的设置，保证用电、用气安全。</w:t>
      </w:r>
    </w:p>
    <w:p>
      <w:pPr>
        <w:pStyle w:val="2"/>
        <w:rPr>
          <w:rFonts w:hint="eastAsia"/>
          <w:color w:val="auto"/>
          <w:highlight w:val="none"/>
        </w:rPr>
      </w:pP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三、资格要求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3.1供应商应符合下述《政府采购法》第二十二条第一款规定的法定基本资格条件及项目（标段）资格要求，并提供相关资格证明材料（文件）：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或202</w:t>
      </w:r>
      <w:r>
        <w:rPr>
          <w:rFonts w:hint="eastAsia" w:ascii="仿宋" w:hAnsi="仿宋" w:eastAsia="仿宋" w:cs="宋体"/>
          <w:color w:val="auto"/>
          <w:sz w:val="21"/>
          <w:szCs w:val="21"/>
          <w:highlight w:val="none"/>
          <w:lang w:val="en-US" w:eastAsia="zh-CN"/>
        </w:rPr>
        <w:t>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（5）具备法律、行政法规规定的其他条件，描述提供相关证明材料。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3.2投标人必须是所投产品的制造商或授权代理商（授权代理商须提供厂家针对本项目所投产品的专项授权书）；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3.3单位负责人为同一人或者存在直接控股、管理关系的不同投标人，不得参加本合同项下的医疗设备采购活动。为本采购项目提供整体设计、规范编制或者项目管理、监理、检测等服务的投标人，不得再参加本采购项目（提供承诺书）；</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3.4投标设备必须符合国家标准、行业标准和专业标准等相关标准，并符合中华人民共和国国务院令第650号修订后的《医疗器械监督管理条例》相关规定；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3.5生产企业（制造商）须具有医疗器械生产许可证；代理商（销售商）须具有医疗器械经营许可证；医疗器械生产许可证或医疗器械经营许可证均须在有效期内。所投产品应提供医疗器械注册证及附表；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rPr>
        <w:t>3.6投标人必须实质响应谈判文件提出的关键技术参数等要求；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3.7</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rPr>
        <w:t>四、报名信息</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4.1报名时间： 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11</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年0</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13</w:t>
      </w:r>
      <w:r>
        <w:rPr>
          <w:rFonts w:hint="eastAsia" w:ascii="仿宋" w:hAnsi="仿宋" w:eastAsia="仿宋" w:cstheme="minorEastAsia"/>
          <w:color w:val="auto"/>
          <w:kern w:val="0"/>
          <w:sz w:val="21"/>
          <w:szCs w:val="21"/>
          <w:highlight w:val="none"/>
        </w:rPr>
        <w:t>日。（上午8:</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0—11:30，下午15:</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p>
    <w:p>
      <w:pPr>
        <w:widowControl/>
        <w:spacing w:line="360" w:lineRule="auto"/>
        <w:ind w:firstLine="420" w:firstLineChars="200"/>
        <w:rPr>
          <w:rFonts w:ascii="仿宋" w:hAnsi="仿宋" w:eastAsia="仿宋" w:cs="宋体"/>
          <w:bCs/>
          <w:color w:val="auto"/>
          <w:sz w:val="21"/>
          <w:szCs w:val="21"/>
          <w:highlight w:val="none"/>
        </w:rPr>
      </w:pPr>
      <w:r>
        <w:rPr>
          <w:rFonts w:hint="eastAsia" w:ascii="仿宋" w:hAnsi="仿宋" w:eastAsia="仿宋" w:cstheme="minorEastAsia"/>
          <w:color w:val="auto"/>
          <w:kern w:val="0"/>
          <w:sz w:val="21"/>
          <w:szCs w:val="21"/>
          <w:highlight w:val="none"/>
        </w:rPr>
        <w:t>4.2 报名地点：</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招标办</w:t>
      </w:r>
      <w:r>
        <w:rPr>
          <w:rFonts w:hint="eastAsia" w:ascii="仿宋" w:hAnsi="仿宋" w:eastAsia="仿宋" w:cs="宋体"/>
          <w:bCs/>
          <w:color w:val="auto"/>
          <w:sz w:val="21"/>
          <w:szCs w:val="21"/>
          <w:highlight w:val="none"/>
        </w:rPr>
        <w:t>。</w:t>
      </w:r>
    </w:p>
    <w:p>
      <w:pPr>
        <w:pStyle w:val="18"/>
        <w:ind w:firstLine="420" w:firstLineChars="200"/>
        <w:rPr>
          <w:rFonts w:ascii="仿宋" w:hAnsi="仿宋" w:eastAsia="仿宋"/>
          <w:color w:val="auto"/>
          <w:sz w:val="21"/>
          <w:szCs w:val="21"/>
          <w:highlight w:val="none"/>
        </w:rPr>
      </w:pPr>
      <w:r>
        <w:rPr>
          <w:rFonts w:hint="eastAsia" w:ascii="仿宋" w:hAnsi="仿宋" w:eastAsia="仿宋" w:cstheme="minorEastAsia"/>
          <w:color w:val="auto"/>
          <w:sz w:val="21"/>
          <w:szCs w:val="21"/>
          <w:highlight w:val="none"/>
        </w:rPr>
        <w:t>4.3 报名电话：0372-5117198。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4.4 供应商报名时须携带以下以供审核的资料：</w:t>
      </w:r>
      <w:r>
        <w:rPr>
          <w:rFonts w:hint="eastAsia" w:ascii="仿宋" w:hAnsi="仿宋" w:eastAsia="仿宋" w:cs="宋体"/>
          <w:color w:val="auto"/>
          <w:kern w:val="0"/>
          <w:sz w:val="21"/>
          <w:szCs w:val="21"/>
          <w:highlight w:val="none"/>
          <w:lang w:eastAsia="zh-CN"/>
        </w:rPr>
        <w:t>营业执照、资质证书、经营许可证、法定代表人身份证、授权委托书、委托人身份证，若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红</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kern w:val="0"/>
          <w:sz w:val="21"/>
          <w:szCs w:val="21"/>
          <w:highlight w:val="none"/>
          <w:lang w:eastAsia="zh-CN"/>
        </w:rPr>
        <w:t>。</w:t>
      </w:r>
      <w:r>
        <w:rPr>
          <w:rFonts w:hint="eastAsia" w:ascii="仿宋" w:hAnsi="仿宋" w:eastAsia="仿宋" w:cstheme="minorEastAsia"/>
          <w:color w:val="auto"/>
          <w:kern w:val="0"/>
          <w:sz w:val="21"/>
          <w:szCs w:val="21"/>
          <w:highlight w:val="none"/>
        </w:rPr>
        <w:t>注：以上资料要求出示加盖单位公章的复印件一套。（法人授权委托书注明项目名称、采购编号、被授权人姓名、职务、手机号码、电子信箱）。</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开标后，将由招标小组对供应商的资格证明材料进行资格审核，不符合项目资格条件的供应商的响应性文件将被拒绝。供应商应自负风险费用，提供虚假材料的将进一步追究其责任。</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投标文件要求胶装.密封.一正本</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两副本。</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五、公告发布媒体</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本次公告同时在</w:t>
      </w:r>
      <w:r>
        <w:rPr>
          <w:rFonts w:hint="eastAsia" w:ascii="仿宋" w:hAnsi="仿宋" w:eastAsia="仿宋" w:cs="宋体"/>
          <w:color w:val="auto"/>
          <w:sz w:val="21"/>
          <w:szCs w:val="21"/>
          <w:highlight w:val="none"/>
        </w:rPr>
        <w:t>《安阳市中医院官网》</w:t>
      </w:r>
      <w:r>
        <w:rPr>
          <w:rFonts w:hint="eastAsia" w:ascii="仿宋" w:hAnsi="仿宋" w:eastAsia="仿宋" w:cs="宋体"/>
          <w:color w:val="auto"/>
          <w:sz w:val="21"/>
          <w:szCs w:val="21"/>
          <w:highlight w:val="none"/>
          <w:lang w:eastAsia="zh-CN"/>
        </w:rPr>
        <w:t>、《</w:t>
      </w:r>
      <w:r>
        <w:rPr>
          <w:rFonts w:hint="eastAsia" w:ascii="仿宋" w:hAnsi="仿宋" w:eastAsia="仿宋" w:cs="宋体"/>
          <w:color w:val="auto"/>
          <w:sz w:val="21"/>
          <w:szCs w:val="21"/>
          <w:highlight w:val="none"/>
        </w:rPr>
        <w:t>安阳市中医院公告栏</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lang w:val="en-US" w:eastAsia="zh-CN"/>
        </w:rPr>
        <w:t>上同时</w:t>
      </w:r>
      <w:r>
        <w:rPr>
          <w:rFonts w:hint="eastAsia" w:ascii="仿宋" w:hAnsi="仿宋" w:eastAsia="仿宋" w:cstheme="minorEastAsia"/>
          <w:color w:val="auto"/>
          <w:kern w:val="0"/>
          <w:sz w:val="21"/>
          <w:szCs w:val="21"/>
          <w:highlight w:val="none"/>
        </w:rPr>
        <w:t>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六、开标时间与地点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6.1 </w:t>
      </w:r>
      <w:r>
        <w:rPr>
          <w:rFonts w:hint="eastAsia" w:ascii="仿宋" w:hAnsi="仿宋" w:eastAsia="仿宋" w:cstheme="minorEastAsia"/>
          <w:color w:val="auto"/>
          <w:kern w:val="0"/>
          <w:sz w:val="21"/>
          <w:szCs w:val="21"/>
          <w:highlight w:val="none"/>
        </w:rPr>
        <w:t>开标时间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16</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（周一）</w:t>
      </w:r>
      <w:r>
        <w:rPr>
          <w:rFonts w:hint="eastAsia" w:ascii="仿宋" w:hAnsi="仿宋" w:eastAsia="仿宋" w:cstheme="minorEastAsia"/>
          <w:color w:val="auto"/>
          <w:kern w:val="0"/>
          <w:sz w:val="21"/>
          <w:szCs w:val="21"/>
          <w:highlight w:val="none"/>
          <w:lang w:val="en-US" w:eastAsia="zh-CN"/>
        </w:rPr>
        <w:t>10</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ascii="仿宋" w:hAnsi="仿宋" w:eastAsia="仿宋" w:cstheme="minorEastAsia"/>
          <w:bCs/>
          <w:color w:val="auto"/>
          <w:kern w:val="0"/>
          <w:sz w:val="21"/>
          <w:szCs w:val="21"/>
          <w:highlight w:val="none"/>
        </w:rPr>
      </w:pPr>
      <w:r>
        <w:rPr>
          <w:rFonts w:hint="eastAsia" w:ascii="仿宋" w:hAnsi="仿宋" w:eastAsia="仿宋" w:cstheme="minorEastAsia"/>
          <w:bCs/>
          <w:color w:val="auto"/>
          <w:kern w:val="0"/>
          <w:sz w:val="21"/>
          <w:szCs w:val="21"/>
          <w:highlight w:val="none"/>
        </w:rPr>
        <w:t xml:space="preserve"> 6.2 开标地点</w:t>
      </w:r>
      <w:r>
        <w:rPr>
          <w:rFonts w:hint="eastAsia" w:ascii="仿宋" w:hAnsi="仿宋" w:eastAsia="仿宋" w:cstheme="minorEastAsia"/>
          <w:bCs/>
          <w:color w:val="auto"/>
          <w:kern w:val="0"/>
          <w:sz w:val="21"/>
          <w:szCs w:val="21"/>
          <w:highlight w:val="none"/>
          <w:lang w:eastAsia="zh-CN"/>
        </w:rPr>
        <w:t>：</w:t>
      </w:r>
      <w:r>
        <w:rPr>
          <w:rFonts w:hint="eastAsia" w:ascii="仿宋" w:hAnsi="仿宋" w:eastAsia="仿宋" w:cs="宋体"/>
          <w:bCs/>
          <w:color w:val="auto"/>
          <w:sz w:val="21"/>
          <w:szCs w:val="21"/>
          <w:highlight w:val="none"/>
        </w:rPr>
        <w:t>安阳市红旗路150号安阳市中医院1号楼4楼</w:t>
      </w:r>
      <w:r>
        <w:rPr>
          <w:rFonts w:hint="eastAsia" w:ascii="仿宋" w:hAnsi="仿宋" w:eastAsia="仿宋" w:cs="宋体"/>
          <w:bCs/>
          <w:color w:val="auto"/>
          <w:sz w:val="21"/>
          <w:szCs w:val="21"/>
          <w:highlight w:val="none"/>
          <w:lang w:eastAsia="zh-CN"/>
        </w:rPr>
        <w:t>招标会议室</w:t>
      </w:r>
      <w:r>
        <w:rPr>
          <w:rFonts w:hint="eastAsia" w:ascii="仿宋" w:hAnsi="仿宋" w:eastAsia="仿宋" w:cs="宋体"/>
          <w:bCs/>
          <w:color w:val="auto"/>
          <w:sz w:val="21"/>
          <w:szCs w:val="21"/>
          <w:highlight w:val="none"/>
        </w:rPr>
        <w:t>。</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七、本次招标联系事项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孙女士</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ascii="仿宋" w:hAnsi="仿宋" w:eastAsia="仿宋" w:cs="宋体"/>
          <w:bCs/>
          <w:color w:val="auto"/>
          <w:sz w:val="21"/>
          <w:szCs w:val="21"/>
          <w:highlight w:val="none"/>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4、“采购技术</w:t>
      </w:r>
      <w:r>
        <w:rPr>
          <w:rFonts w:hint="eastAsia" w:ascii="仿宋" w:hAnsi="仿宋" w:eastAsia="仿宋" w:cs="宋体"/>
          <w:color w:val="auto"/>
          <w:sz w:val="21"/>
          <w:szCs w:val="21"/>
          <w:highlight w:val="none"/>
          <w:lang w:eastAsia="zh-CN"/>
        </w:rPr>
        <w:t>参数</w:t>
      </w:r>
      <w:r>
        <w:rPr>
          <w:rFonts w:hint="eastAsia" w:ascii="仿宋" w:hAnsi="仿宋" w:eastAsia="仿宋" w:cs="宋体"/>
          <w:color w:val="auto"/>
          <w:sz w:val="21"/>
          <w:szCs w:val="21"/>
          <w:highlight w:val="none"/>
        </w:rPr>
        <w:t>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widowControl/>
        <w:wordWrap w:val="0"/>
        <w:spacing w:line="360" w:lineRule="auto"/>
        <w:ind w:firstLine="420" w:firstLineChars="200"/>
        <w:jc w:val="left"/>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 6、付款方式：合同签订设备验收合格使用正常后，甲方支付合同总额90%的设备价款，合同总额10%的设备价款自动转为质量保证金。质保期满后，无任何质量问题并经甲方同意后，质量保证金无息付清。</w:t>
      </w:r>
    </w:p>
    <w:p>
      <w:pPr>
        <w:pStyle w:val="12"/>
        <w:ind w:left="0" w:leftChars="0" w:firstLine="0" w:firstLineChars="0"/>
        <w:rPr>
          <w:color w:val="auto"/>
          <w:highlight w:val="none"/>
        </w:rPr>
      </w:pPr>
    </w:p>
    <w:p>
      <w:pPr>
        <w:pStyle w:val="12"/>
        <w:ind w:left="0" w:leftChars="0" w:firstLine="0" w:firstLineChars="0"/>
        <w:rPr>
          <w:rFonts w:eastAsia="仿宋"/>
          <w:color w:val="auto"/>
          <w:highlight w:val="none"/>
        </w:rPr>
      </w:pPr>
    </w:p>
    <w:p>
      <w:pPr>
        <w:pStyle w:val="12"/>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2.资质证书和经营许可证复印件（加盖公章）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0"/>
        <w:widowControl/>
        <w:numPr>
          <w:ilvl w:val="0"/>
          <w:numId w:val="0"/>
        </w:numPr>
        <w:spacing w:line="360" w:lineRule="auto"/>
        <w:ind w:left="417" w:leftChars="69" w:hanging="210" w:hanging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kern w:val="0"/>
          <w:sz w:val="21"/>
          <w:szCs w:val="21"/>
          <w:highlight w:val="none"/>
          <w:lang w:eastAsia="zh-CN"/>
        </w:rPr>
        <w:t>若</w:t>
      </w:r>
      <w:r>
        <w:rPr>
          <w:rFonts w:hint="eastAsia" w:ascii="仿宋" w:hAnsi="仿宋" w:eastAsia="仿宋" w:cs="宋体"/>
          <w:color w:val="auto"/>
          <w:sz w:val="21"/>
          <w:szCs w:val="21"/>
          <w:highlight w:val="none"/>
        </w:rPr>
        <w:t>供应商为代理商的，须提供厂家针对本项目所投产品的专项授权书</w:t>
      </w:r>
      <w:r>
        <w:rPr>
          <w:rFonts w:hint="eastAsia" w:ascii="仿宋" w:hAnsi="仿宋" w:eastAsia="仿宋" w:cs="宋体"/>
          <w:color w:val="auto"/>
          <w:sz w:val="21"/>
          <w:szCs w:val="21"/>
          <w:highlight w:val="none"/>
          <w:lang w:eastAsia="zh-CN"/>
        </w:rPr>
        <w:t>原件（</w:t>
      </w:r>
      <w:r>
        <w:rPr>
          <w:rFonts w:hint="eastAsia" w:ascii="仿宋" w:hAnsi="仿宋" w:eastAsia="仿宋" w:cs="宋体"/>
          <w:color w:val="auto"/>
          <w:sz w:val="21"/>
          <w:szCs w:val="21"/>
          <w:highlight w:val="none"/>
        </w:rPr>
        <w:t>加盖厂家单位</w:t>
      </w:r>
      <w:r>
        <w:rPr>
          <w:rFonts w:hint="eastAsia" w:ascii="仿宋" w:hAnsi="仿宋" w:eastAsia="仿宋" w:cs="宋体"/>
          <w:color w:val="auto"/>
          <w:sz w:val="21"/>
          <w:szCs w:val="21"/>
          <w:highlight w:val="none"/>
          <w:lang w:eastAsia="zh-CN"/>
        </w:rPr>
        <w:t>公</w:t>
      </w:r>
      <w:r>
        <w:rPr>
          <w:rFonts w:hint="eastAsia" w:ascii="仿宋" w:hAnsi="仿宋" w:eastAsia="仿宋" w:cs="宋体"/>
          <w:color w:val="auto"/>
          <w:sz w:val="21"/>
          <w:szCs w:val="21"/>
          <w:highlight w:val="none"/>
        </w:rPr>
        <w:t>章</w:t>
      </w:r>
      <w:r>
        <w:rPr>
          <w:rFonts w:hint="eastAsia" w:ascii="仿宋" w:hAnsi="仿宋" w:eastAsia="仿宋" w:cs="宋体"/>
          <w:color w:val="auto"/>
          <w:sz w:val="21"/>
          <w:szCs w:val="21"/>
          <w:highlight w:val="none"/>
          <w:lang w:eastAsia="zh-CN"/>
        </w:rPr>
        <w:t>）</w:t>
      </w:r>
    </w:p>
    <w:p>
      <w:pPr>
        <w:pStyle w:val="20"/>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0"/>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0"/>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2"/>
        <w:ind w:firstLine="281"/>
        <w:rPr>
          <w:rFonts w:ascii="宋体" w:hAnsi="宋体" w:cs="宋体"/>
          <w:b/>
          <w:bCs/>
          <w:color w:val="auto"/>
          <w:szCs w:val="28"/>
          <w:highlight w:val="none"/>
        </w:rPr>
      </w:pPr>
    </w:p>
    <w:p>
      <w:pPr>
        <w:pStyle w:val="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right="560" w:firstLine="723" w:firstLineChars="3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     期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附件4  技术偏差表</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附件5  法定代表人身份证明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附件6  法定代表人授权书</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附件7  供应商资格证明</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附件8  服务承诺</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附件9  供应商认为需要提供的其他资料</w:t>
      </w:r>
    </w:p>
    <w:p>
      <w:pPr>
        <w:pStyle w:val="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2" w:name="OLE_LINK42"/>
      <w:r>
        <w:rPr>
          <w:rFonts w:hint="eastAsia" w:ascii="仿宋" w:hAnsi="仿宋" w:eastAsia="仿宋" w:cs="仿宋"/>
          <w:b/>
          <w:bCs/>
          <w:color w:val="auto"/>
          <w:kern w:val="0"/>
          <w:sz w:val="21"/>
          <w:szCs w:val="21"/>
          <w:highlight w:val="none"/>
        </w:rPr>
        <w:t>竞争性谈判响应书</w:t>
      </w:r>
    </w:p>
    <w:bookmarkEnd w:id="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根据贵方的谈判文件，（供应商名称）现正式授权委托（全名）为我方代理人，参加贵方组织的（项目名称）的投标。现正式提交下述文件正本一份、副本二份的投标文件，并对之负法律责任。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2" w:firstLineChars="200"/>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3"/>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2"/>
        <w:ind w:left="600"/>
        <w:rPr>
          <w:rFonts w:ascii="仿宋" w:hAnsi="仿宋" w:eastAsia="仿宋" w:cs="仿宋"/>
          <w:color w:val="auto"/>
          <w:sz w:val="21"/>
          <w:szCs w:val="21"/>
          <w:highlight w:val="none"/>
        </w:rPr>
      </w:pPr>
    </w:p>
    <w:p>
      <w:pPr>
        <w:pStyle w:val="12"/>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3"/>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bookmarkStart w:id="4" w:name="OLE_LINK22"/>
      <w:r>
        <w:rPr>
          <w:rFonts w:hint="eastAsia" w:ascii="仿宋" w:hAnsi="仿宋" w:eastAsia="仿宋" w:cs="仿宋"/>
          <w:b/>
          <w:bCs/>
          <w:color w:val="auto"/>
          <w:sz w:val="21"/>
          <w:szCs w:val="21"/>
          <w:highlight w:val="none"/>
        </w:rPr>
        <w:t>附件4：</w:t>
      </w:r>
    </w:p>
    <w:p>
      <w:pPr>
        <w:snapToGrid w:val="0"/>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技术偏差表</w:t>
      </w:r>
      <w:bookmarkEnd w:id="4"/>
    </w:p>
    <w:p>
      <w:pPr>
        <w:snapToGrid w:val="0"/>
        <w:jc w:val="center"/>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3"/>
        <w:tblW w:w="9468"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8"/>
        <w:gridCol w:w="1640"/>
        <w:gridCol w:w="2184"/>
        <w:gridCol w:w="2077"/>
        <w:gridCol w:w="18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640"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货物名称</w:t>
            </w:r>
          </w:p>
        </w:tc>
        <w:tc>
          <w:tcPr>
            <w:tcW w:w="218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《谈判文件》要求</w:t>
            </w:r>
          </w:p>
        </w:tc>
        <w:tc>
          <w:tcPr>
            <w:tcW w:w="2077"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投标货物参数</w:t>
            </w:r>
          </w:p>
        </w:tc>
        <w:tc>
          <w:tcPr>
            <w:tcW w:w="1859"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偏差描述</w:t>
            </w:r>
          </w:p>
        </w:tc>
        <w:tc>
          <w:tcPr>
            <w:tcW w:w="1260" w:type="dxa"/>
            <w:tcBorders>
              <w:top w:val="single" w:color="000000" w:sz="8" w:space="0"/>
              <w:bottom w:val="single" w:color="000000" w:sz="4" w:space="0"/>
              <w:right w:val="single" w:color="000000" w:sz="8" w:space="0"/>
            </w:tcBorders>
          </w:tcPr>
          <w:p>
            <w:pPr>
              <w:jc w:val="center"/>
              <w:rPr>
                <w:rFonts w:ascii="仿宋" w:hAnsi="仿宋" w:eastAsia="仿宋" w:cs="仿宋"/>
                <w:b/>
                <w:color w:val="auto"/>
                <w:sz w:val="21"/>
                <w:szCs w:val="21"/>
                <w:highlight w:val="none"/>
              </w:rPr>
            </w:pPr>
          </w:p>
          <w:p>
            <w:pPr>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trPr>
        <w:tc>
          <w:tcPr>
            <w:tcW w:w="448"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40"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4" w:space="0"/>
              <w:right w:val="single" w:color="000000" w:sz="8" w:space="0"/>
            </w:tcBorders>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8" w:type="dxa"/>
            <w:tcBorders>
              <w:left w:val="single" w:color="000000" w:sz="8" w:space="0"/>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40"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84"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077" w:type="dxa"/>
            <w:tcBorders>
              <w:bottom w:val="single" w:color="000000" w:sz="8"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859" w:type="dxa"/>
            <w:tcBorders>
              <w:bottom w:val="single" w:color="000000" w:sz="8"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c>
          <w:tcPr>
            <w:tcW w:w="1260" w:type="dxa"/>
            <w:tcBorders>
              <w:bottom w:val="single" w:color="000000" w:sz="8" w:space="0"/>
              <w:right w:val="single" w:color="000000" w:sz="8" w:space="0"/>
            </w:tcBorders>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line="360" w:lineRule="auto"/>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注：1、“偏差”栏中详细注明所投产品参数与《谈判文件》中要求有何不同，并说明其符合性。投标单位应分序号填制本表，页数不够时请自行复印或按格式添加。</w:t>
      </w:r>
    </w:p>
    <w:p>
      <w:pPr>
        <w:tabs>
          <w:tab w:val="left" w:pos="9365"/>
        </w:tabs>
        <w:snapToGrid w:val="0"/>
        <w:spacing w:line="360" w:lineRule="auto"/>
        <w:ind w:firstLine="624"/>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2、如所投产品配置及技术参数与“技术要求”一致的部分，仍需在本表“偏差描述”填列“无偏差”样。</w:t>
      </w:r>
    </w:p>
    <w:p>
      <w:pPr>
        <w:autoSpaceDE w:val="0"/>
        <w:autoSpaceDN w:val="0"/>
        <w:adjustRightInd w:val="0"/>
        <w:spacing w:line="360" w:lineRule="auto"/>
        <w:jc w:val="center"/>
        <w:rPr>
          <w:rFonts w:ascii="仿宋" w:hAnsi="仿宋" w:eastAsia="仿宋" w:cs="仿宋"/>
          <w:color w:val="auto"/>
          <w:sz w:val="21"/>
          <w:szCs w:val="21"/>
          <w:highlight w:val="none"/>
        </w:rPr>
      </w:pPr>
    </w:p>
    <w:p>
      <w:pPr>
        <w:pStyle w:val="3"/>
        <w:spacing w:before="72" w:line="427" w:lineRule="auto"/>
        <w:ind w:right="422"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3"/>
        <w:spacing w:before="72" w:line="427" w:lineRule="auto"/>
        <w:ind w:right="422" w:firstLine="4410" w:firstLineChars="21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3"/>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附件5：</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4"/>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4"/>
        <w:spacing w:line="520" w:lineRule="exact"/>
        <w:ind w:left="0" w:leftChars="0" w:firstLine="630" w:firstLineChars="30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3"/>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830" w:firstLineChars="2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4"/>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附件6：</w:t>
      </w:r>
    </w:p>
    <w:p>
      <w:pPr>
        <w:pStyle w:val="4"/>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4"/>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附件7：</w:t>
      </w:r>
    </w:p>
    <w:p>
      <w:pPr>
        <w:pStyle w:val="6"/>
        <w:snapToGrid w:val="0"/>
        <w:spacing w:afterLines="100" w:line="520" w:lineRule="exact"/>
        <w:jc w:val="center"/>
        <w:rPr>
          <w:rFonts w:ascii="仿宋" w:hAnsi="仿宋" w:eastAsia="仿宋" w:cs="仿宋"/>
          <w:color w:val="auto"/>
          <w:highlight w:val="none"/>
        </w:rPr>
      </w:pPr>
      <w:r>
        <w:rPr>
          <w:rFonts w:hint="eastAsia" w:ascii="仿宋" w:hAnsi="仿宋" w:eastAsia="仿宋" w:cs="仿宋"/>
          <w:b/>
          <w:color w:val="auto"/>
          <w:highlight w:val="none"/>
        </w:rPr>
        <w:t>供应商资格证明</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1、具有独立法人资格。■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2、具有良好的商业信誉和健全的财务会计制度，有依法缴纳税收和社会保障资金的良好记录；■提供银行出具的近1年内资信证明</w:t>
      </w:r>
      <w:r>
        <w:rPr>
          <w:rFonts w:hint="eastAsia" w:ascii="仿宋" w:hAnsi="仿宋" w:eastAsia="仿宋" w:cs="宋体"/>
          <w:color w:val="auto"/>
          <w:kern w:val="0"/>
          <w:sz w:val="21"/>
          <w:szCs w:val="21"/>
          <w:highlight w:val="none"/>
        </w:rPr>
        <w:t>（法人为基本开户行）</w:t>
      </w:r>
      <w:r>
        <w:rPr>
          <w:rFonts w:hint="eastAsia" w:ascii="仿宋" w:hAnsi="仿宋" w:eastAsia="仿宋" w:cs="宋体"/>
          <w:color w:val="auto"/>
          <w:sz w:val="21"/>
          <w:szCs w:val="21"/>
          <w:highlight w:val="none"/>
        </w:rPr>
        <w:t>或</w:t>
      </w:r>
      <w:r>
        <w:rPr>
          <w:rFonts w:hint="eastAsia" w:ascii="仿宋" w:hAnsi="仿宋" w:eastAsia="仿宋" w:cs="宋体"/>
          <w:color w:val="auto"/>
          <w:sz w:val="21"/>
          <w:szCs w:val="21"/>
          <w:highlight w:val="none"/>
          <w:lang w:val="en-US" w:eastAsia="zh-CN"/>
        </w:rPr>
        <w:t>2021</w:t>
      </w:r>
      <w:r>
        <w:rPr>
          <w:rFonts w:hint="eastAsia" w:ascii="仿宋" w:hAnsi="仿宋" w:eastAsia="仿宋" w:cs="宋体"/>
          <w:color w:val="auto"/>
          <w:sz w:val="21"/>
          <w:szCs w:val="21"/>
          <w:highlight w:val="none"/>
        </w:rPr>
        <w:t>年度经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5、投标人必须是所投产品的制造商或授权代理商（授权代理商须提供厂家针对本项目所投产品的专项授权书）；</w:t>
      </w:r>
    </w:p>
    <w:p>
      <w:pPr>
        <w:widowControl/>
        <w:snapToGrid w:val="0"/>
        <w:spacing w:line="400" w:lineRule="exact"/>
        <w:ind w:firstLine="420" w:firstLineChars="200"/>
        <w:rPr>
          <w:rFonts w:hint="eastAsia" w:ascii="仿宋" w:hAnsi="仿宋" w:eastAsia="仿宋" w:cs="宋体"/>
          <w:color w:val="auto"/>
          <w:sz w:val="21"/>
          <w:szCs w:val="21"/>
          <w:highlight w:val="none"/>
        </w:rPr>
      </w:pPr>
      <w:r>
        <w:rPr>
          <w:rFonts w:hint="eastAsia" w:ascii="仿宋" w:hAnsi="仿宋" w:eastAsia="仿宋" w:cs="宋体"/>
          <w:color w:val="auto"/>
          <w:sz w:val="21"/>
          <w:szCs w:val="21"/>
          <w:highlight w:val="none"/>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val="0"/>
          <w:bCs w:val="0"/>
          <w:color w:val="auto"/>
          <w:sz w:val="21"/>
          <w:szCs w:val="21"/>
          <w:highlight w:val="none"/>
        </w:rPr>
        <w:t>提供承诺书</w:t>
      </w:r>
      <w:r>
        <w:rPr>
          <w:rFonts w:hint="eastAsia" w:ascii="仿宋" w:hAnsi="仿宋" w:eastAsia="仿宋" w:cs="宋体"/>
          <w:color w:val="auto"/>
          <w:sz w:val="21"/>
          <w:szCs w:val="21"/>
          <w:highlight w:val="none"/>
        </w:rPr>
        <w:t>）；</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7、</w:t>
      </w:r>
      <w:r>
        <w:rPr>
          <w:rFonts w:hint="eastAsia" w:ascii="仿宋" w:hAnsi="仿宋" w:eastAsia="仿宋" w:cs="宋体"/>
          <w:color w:val="auto"/>
          <w:sz w:val="21"/>
          <w:szCs w:val="21"/>
          <w:highlight w:val="none"/>
        </w:rPr>
        <w:t>投标设备必须符合国家标准、行业标准和专业标准等相关标准，并符合中华人民共和国国务院令第650号修订后的《医疗器械监督管理条例》相关规定；</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8</w:t>
      </w:r>
      <w:r>
        <w:rPr>
          <w:rFonts w:hint="eastAsia" w:ascii="仿宋" w:hAnsi="仿宋" w:eastAsia="仿宋" w:cs="宋体"/>
          <w:color w:val="auto"/>
          <w:sz w:val="21"/>
          <w:szCs w:val="21"/>
          <w:highlight w:val="none"/>
        </w:rPr>
        <w:t>、生产企业（制造商）须具有医疗器械生产许可证；代理商（销售商）须具有医疗器械经营许可证；医疗器械生产许可证或医疗器械经营许可证均须在有效期内。所投产品应提供医疗器械注册证及附表；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olor w:val="auto"/>
          <w:sz w:val="21"/>
          <w:szCs w:val="21"/>
          <w:highlight w:val="none"/>
        </w:rPr>
      </w:pPr>
      <w:r>
        <w:rPr>
          <w:rFonts w:hint="eastAsia" w:ascii="仿宋" w:hAnsi="仿宋" w:eastAsia="仿宋" w:cs="宋体"/>
          <w:color w:val="auto"/>
          <w:sz w:val="21"/>
          <w:szCs w:val="21"/>
          <w:highlight w:val="none"/>
          <w:lang w:val="en-US" w:eastAsia="zh-CN"/>
        </w:rPr>
        <w:t>9、</w:t>
      </w:r>
      <w:r>
        <w:rPr>
          <w:rFonts w:hint="eastAsia" w:ascii="仿宋" w:hAnsi="仿宋" w:eastAsia="仿宋" w:cs="宋体"/>
          <w:color w:val="auto"/>
          <w:sz w:val="21"/>
          <w:szCs w:val="21"/>
          <w:highlight w:val="none"/>
        </w:rPr>
        <w:t>投标人必须实质响应谈判文件提出的关键技术参数等要求；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本项目不接受联合体投标</w:t>
      </w:r>
      <w:r>
        <w:rPr>
          <w:rFonts w:hint="eastAsia" w:ascii="仿宋" w:hAnsi="仿宋" w:eastAsia="仿宋" w:cs="宋体"/>
          <w:color w:val="auto"/>
          <w:sz w:val="21"/>
          <w:szCs w:val="21"/>
          <w:highlight w:val="none"/>
        </w:rPr>
        <w:t>。</w:t>
      </w:r>
    </w:p>
    <w:p>
      <w:pPr>
        <w:snapToGrid w:val="0"/>
        <w:spacing w:line="520" w:lineRule="exact"/>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2"/>
        <w:rPr>
          <w:rFonts w:ascii="仿宋" w:hAnsi="仿宋" w:eastAsia="仿宋" w:cs="仿宋"/>
          <w:b/>
          <w:color w:val="auto"/>
          <w:sz w:val="21"/>
          <w:szCs w:val="21"/>
          <w:highlight w:val="none"/>
        </w:rPr>
      </w:pPr>
    </w:p>
    <w:p>
      <w:pPr>
        <w:pStyle w:val="6"/>
        <w:snapToGrid w:val="0"/>
        <w:spacing w:line="520" w:lineRule="exact"/>
        <w:rPr>
          <w:rFonts w:hint="default" w:ascii="仿宋" w:hAnsi="仿宋" w:eastAsia="仿宋" w:cs="仿宋"/>
          <w:b/>
          <w:color w:val="auto"/>
          <w:highlight w:val="none"/>
          <w:lang w:val="en-US" w:eastAsia="zh-CN"/>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ascii="宋体" w:hAnsi="宋体" w:eastAsia="宋体" w:cs="宋体"/>
          <w:color w:val="auto"/>
          <w:sz w:val="32"/>
          <w:szCs w:val="32"/>
          <w:highlight w:val="none"/>
        </w:rPr>
      </w:pPr>
      <w:r>
        <w:rPr>
          <w:rFonts w:hint="eastAsia"/>
          <w:color w:val="auto"/>
          <w:sz w:val="32"/>
          <w:szCs w:val="32"/>
          <w:highlight w:val="none"/>
        </w:rPr>
        <w:t>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780" w:firstLineChars="18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8</w:t>
      </w:r>
      <w:r>
        <w:rPr>
          <w:rFonts w:hint="eastAsia" w:ascii="仿宋" w:hAnsi="仿宋" w:eastAsia="仿宋" w:cs="仿宋"/>
          <w:b/>
          <w:color w:val="auto"/>
          <w:sz w:val="21"/>
          <w:szCs w:val="21"/>
          <w:highlight w:val="none"/>
        </w:rPr>
        <w:t>：</w:t>
      </w:r>
    </w:p>
    <w:p>
      <w:pPr>
        <w:pStyle w:val="3"/>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3"/>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9</w:t>
      </w:r>
      <w:r>
        <w:rPr>
          <w:rFonts w:hint="eastAsia" w:ascii="仿宋" w:hAnsi="仿宋" w:eastAsia="仿宋" w:cs="仿宋"/>
          <w:b/>
          <w:color w:val="auto"/>
          <w:sz w:val="21"/>
          <w:szCs w:val="21"/>
          <w:highlight w:val="none"/>
        </w:rPr>
        <w:t xml:space="preserve">：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2"/>
        <w:ind w:firstLine="280"/>
        <w:rPr>
          <w:color w:val="auto"/>
          <w:highlight w:val="none"/>
        </w:rPr>
      </w:pPr>
    </w:p>
    <w:p>
      <w:pPr>
        <w:pStyle w:val="2"/>
        <w:ind w:firstLine="210"/>
        <w:rPr>
          <w:rFonts w:ascii="仿宋" w:hAnsi="仿宋" w:eastAsia="仿宋" w:cs="仿宋"/>
          <w:color w:val="auto"/>
          <w:sz w:val="21"/>
          <w:szCs w:val="21"/>
          <w:highlight w:val="none"/>
        </w:rPr>
      </w:pPr>
    </w:p>
    <w:p>
      <w:pPr>
        <w:pStyle w:val="2"/>
        <w:ind w:firstLine="280"/>
        <w:rPr>
          <w:color w:val="auto"/>
          <w:highlight w:val="none"/>
        </w:rPr>
      </w:pPr>
    </w:p>
    <w:p>
      <w:pPr>
        <w:pStyle w:val="20"/>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jc w:val="left"/>
        <w:rPr>
          <w:rFonts w:hint="eastAsia" w:ascii="仿宋" w:hAnsi="仿宋" w:eastAsia="仿宋" w:cs="仿宋"/>
          <w:b/>
          <w:color w:val="auto"/>
          <w:kern w:val="0"/>
          <w:sz w:val="21"/>
          <w:szCs w:val="21"/>
          <w:highlight w:val="none"/>
          <w:lang w:val="en-US" w:eastAsia="zh-CN"/>
        </w:rPr>
      </w:pPr>
      <w:r>
        <w:rPr>
          <w:rFonts w:ascii="仿宋" w:hAnsi="仿宋" w:eastAsia="仿宋" w:cs="宋体"/>
          <w:color w:val="auto"/>
          <w:sz w:val="21"/>
          <w:szCs w:val="21"/>
          <w:highlight w:val="none"/>
        </w:rPr>
        <w:br w:type="page"/>
      </w:r>
      <w:bookmarkStart w:id="11" w:name="_GoBack"/>
      <w:bookmarkEnd w:id="11"/>
    </w:p>
    <w:p>
      <w:pPr>
        <w:autoSpaceDE w:val="0"/>
        <w:autoSpaceDN w:val="0"/>
        <w:adjustRightInd w:val="0"/>
        <w:spacing w:line="360" w:lineRule="auto"/>
        <w:jc w:val="left"/>
        <w:outlineLvl w:val="0"/>
        <w:rPr>
          <w:rFonts w:hint="eastAsia" w:ascii="仿宋" w:hAnsi="仿宋" w:eastAsia="仿宋" w:cs="仿宋"/>
          <w:b/>
          <w:color w:val="auto"/>
          <w:kern w:val="0"/>
          <w:sz w:val="21"/>
          <w:szCs w:val="21"/>
          <w:highlight w:val="none"/>
          <w:lang w:val="en-US" w:eastAsia="zh-CN"/>
        </w:rPr>
      </w:pPr>
    </w:p>
    <w:p>
      <w:pPr>
        <w:autoSpaceDE w:val="0"/>
        <w:autoSpaceDN w:val="0"/>
        <w:adjustRightInd w:val="0"/>
        <w:spacing w:line="360" w:lineRule="auto"/>
        <w:ind w:firstLine="3795" w:firstLineChars="1800"/>
        <w:jc w:val="both"/>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3"/>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5" w:name="_Toc8057"/>
            <w:r>
              <w:rPr>
                <w:rFonts w:hint="eastAsia" w:ascii="仿宋" w:hAnsi="仿宋" w:eastAsia="仿宋" w:cs="仿宋"/>
                <w:b/>
                <w:color w:val="auto"/>
                <w:kern w:val="0"/>
                <w:sz w:val="21"/>
                <w:szCs w:val="21"/>
                <w:highlight w:val="none"/>
              </w:rPr>
              <w:t>项项目名称</w:t>
            </w:r>
            <w:bookmarkEnd w:id="5"/>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6" w:name="_Toc24842"/>
            <w:r>
              <w:rPr>
                <w:rFonts w:hint="eastAsia" w:ascii="仿宋" w:hAnsi="仿宋" w:eastAsia="仿宋" w:cs="仿宋"/>
                <w:b/>
                <w:color w:val="auto"/>
                <w:kern w:val="0"/>
                <w:sz w:val="21"/>
                <w:szCs w:val="21"/>
                <w:highlight w:val="none"/>
              </w:rPr>
              <w:t>供应商名称</w:t>
            </w:r>
            <w:bookmarkEnd w:id="6"/>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7" w:name="_Toc17461"/>
            <w:r>
              <w:rPr>
                <w:rFonts w:hint="eastAsia" w:ascii="仿宋" w:hAnsi="仿宋" w:eastAsia="仿宋" w:cs="仿宋"/>
                <w:b/>
                <w:color w:val="auto"/>
                <w:kern w:val="0"/>
                <w:sz w:val="21"/>
                <w:szCs w:val="21"/>
                <w:highlight w:val="none"/>
              </w:rPr>
              <w:t>二次报价</w:t>
            </w:r>
            <w:bookmarkEnd w:id="7"/>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8" w:name="_Toc12941"/>
            <w:r>
              <w:rPr>
                <w:rFonts w:hint="eastAsia" w:ascii="仿宋" w:hAnsi="仿宋" w:eastAsia="仿宋" w:cs="仿宋"/>
                <w:b/>
                <w:color w:val="auto"/>
                <w:kern w:val="0"/>
                <w:sz w:val="21"/>
                <w:szCs w:val="21"/>
                <w:highlight w:val="none"/>
              </w:rPr>
              <w:t>（大写）</w:t>
            </w:r>
            <w:bookmarkEnd w:id="8"/>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9" w:name="_Toc12715"/>
            <w:r>
              <w:rPr>
                <w:rFonts w:hint="eastAsia" w:ascii="仿宋" w:hAnsi="仿宋" w:eastAsia="仿宋" w:cs="仿宋"/>
                <w:b/>
                <w:color w:val="auto"/>
                <w:kern w:val="0"/>
                <w:sz w:val="21"/>
                <w:szCs w:val="21"/>
                <w:highlight w:val="none"/>
              </w:rPr>
              <w:t>（小写）</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0" w:name="_Toc24783"/>
            <w:r>
              <w:rPr>
                <w:rFonts w:hint="eastAsia" w:ascii="仿宋" w:hAnsi="仿宋" w:eastAsia="仿宋" w:cs="仿宋"/>
                <w:b/>
                <w:color w:val="auto"/>
                <w:kern w:val="0"/>
                <w:sz w:val="21"/>
                <w:szCs w:val="21"/>
                <w:highlight w:val="none"/>
              </w:rPr>
              <w:t>备注</w:t>
            </w:r>
            <w:bookmarkEnd w:id="10"/>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3"/>
        <w:spacing w:before="72" w:line="427" w:lineRule="auto"/>
        <w:ind w:left="3600" w:leftChars="1200" w:right="422"/>
        <w:rPr>
          <w:rFonts w:ascii="仿宋" w:hAnsi="仿宋" w:eastAsia="仿宋" w:cs="仿宋"/>
          <w:color w:val="auto"/>
          <w:sz w:val="21"/>
          <w:szCs w:val="21"/>
          <w:highlight w:val="none"/>
        </w:rPr>
      </w:pPr>
    </w:p>
    <w:p>
      <w:pPr>
        <w:pStyle w:val="3"/>
        <w:spacing w:before="72" w:line="427" w:lineRule="auto"/>
        <w:ind w:left="3600" w:leftChars="1200" w:right="422"/>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供应商代表： （签字或盖章）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4"/>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2AD7AC3"/>
    <w:rsid w:val="02BE47D9"/>
    <w:rsid w:val="02DC3F04"/>
    <w:rsid w:val="02DC52DA"/>
    <w:rsid w:val="03457AB8"/>
    <w:rsid w:val="03D71CDD"/>
    <w:rsid w:val="03EC0177"/>
    <w:rsid w:val="06C47189"/>
    <w:rsid w:val="06E17D3B"/>
    <w:rsid w:val="07C35693"/>
    <w:rsid w:val="0B8A0504"/>
    <w:rsid w:val="0BA94BA0"/>
    <w:rsid w:val="0C34090D"/>
    <w:rsid w:val="0D2210AE"/>
    <w:rsid w:val="0D42705A"/>
    <w:rsid w:val="0E8A6F0A"/>
    <w:rsid w:val="0F4E7F38"/>
    <w:rsid w:val="127001C5"/>
    <w:rsid w:val="12A20BB0"/>
    <w:rsid w:val="130628D8"/>
    <w:rsid w:val="137B5074"/>
    <w:rsid w:val="150152DD"/>
    <w:rsid w:val="167E0EBD"/>
    <w:rsid w:val="16D20CAF"/>
    <w:rsid w:val="17117852"/>
    <w:rsid w:val="180A2E6A"/>
    <w:rsid w:val="186E33F9"/>
    <w:rsid w:val="18FA4C8D"/>
    <w:rsid w:val="1A6E148E"/>
    <w:rsid w:val="1C33473D"/>
    <w:rsid w:val="1D90796E"/>
    <w:rsid w:val="1E0839A8"/>
    <w:rsid w:val="1EA47B74"/>
    <w:rsid w:val="1F200112"/>
    <w:rsid w:val="205D37EA"/>
    <w:rsid w:val="20A51982"/>
    <w:rsid w:val="21C916A0"/>
    <w:rsid w:val="22372AAE"/>
    <w:rsid w:val="232748D0"/>
    <w:rsid w:val="248A15BB"/>
    <w:rsid w:val="24E231A5"/>
    <w:rsid w:val="256F255E"/>
    <w:rsid w:val="27A209C9"/>
    <w:rsid w:val="28677F43"/>
    <w:rsid w:val="2A331DAD"/>
    <w:rsid w:val="2BA11B27"/>
    <w:rsid w:val="2DA50138"/>
    <w:rsid w:val="2E9D013C"/>
    <w:rsid w:val="30B5176D"/>
    <w:rsid w:val="334119DE"/>
    <w:rsid w:val="34034EE6"/>
    <w:rsid w:val="34CB0D2F"/>
    <w:rsid w:val="35245113"/>
    <w:rsid w:val="35521C81"/>
    <w:rsid w:val="37B52B4B"/>
    <w:rsid w:val="38DD3F57"/>
    <w:rsid w:val="3EA11583"/>
    <w:rsid w:val="3F280C93"/>
    <w:rsid w:val="3FF676AC"/>
    <w:rsid w:val="407C60D5"/>
    <w:rsid w:val="408D1DBF"/>
    <w:rsid w:val="40953369"/>
    <w:rsid w:val="40D43E92"/>
    <w:rsid w:val="41A25D3E"/>
    <w:rsid w:val="42295B17"/>
    <w:rsid w:val="425A5295"/>
    <w:rsid w:val="42882F05"/>
    <w:rsid w:val="439B47F3"/>
    <w:rsid w:val="44184095"/>
    <w:rsid w:val="44AB6CB7"/>
    <w:rsid w:val="45612048"/>
    <w:rsid w:val="45E5269D"/>
    <w:rsid w:val="4A1C1115"/>
    <w:rsid w:val="4AA92100"/>
    <w:rsid w:val="4B0C185A"/>
    <w:rsid w:val="4BD765E4"/>
    <w:rsid w:val="4D2C6E03"/>
    <w:rsid w:val="4D6420F9"/>
    <w:rsid w:val="4D7367E0"/>
    <w:rsid w:val="4D761E2D"/>
    <w:rsid w:val="4E593C28"/>
    <w:rsid w:val="4ED3737F"/>
    <w:rsid w:val="4F97190F"/>
    <w:rsid w:val="4FB07878"/>
    <w:rsid w:val="505E293F"/>
    <w:rsid w:val="509E5922"/>
    <w:rsid w:val="51A451BA"/>
    <w:rsid w:val="5325057D"/>
    <w:rsid w:val="55346855"/>
    <w:rsid w:val="556F3655"/>
    <w:rsid w:val="567C0FC9"/>
    <w:rsid w:val="580A1AEF"/>
    <w:rsid w:val="584B2834"/>
    <w:rsid w:val="58B57CAD"/>
    <w:rsid w:val="58F85DEC"/>
    <w:rsid w:val="597476A6"/>
    <w:rsid w:val="59BD150F"/>
    <w:rsid w:val="5B127639"/>
    <w:rsid w:val="5C6C0274"/>
    <w:rsid w:val="5D331AE8"/>
    <w:rsid w:val="5E280F21"/>
    <w:rsid w:val="5E9D546B"/>
    <w:rsid w:val="5F9E149B"/>
    <w:rsid w:val="5FF25EB8"/>
    <w:rsid w:val="60932FCA"/>
    <w:rsid w:val="61534507"/>
    <w:rsid w:val="619F14FA"/>
    <w:rsid w:val="620500A2"/>
    <w:rsid w:val="62377985"/>
    <w:rsid w:val="62E95123"/>
    <w:rsid w:val="63C27722"/>
    <w:rsid w:val="658630FD"/>
    <w:rsid w:val="6709529E"/>
    <w:rsid w:val="68E51EE8"/>
    <w:rsid w:val="6A8841A6"/>
    <w:rsid w:val="6ADE64CD"/>
    <w:rsid w:val="6F8561D3"/>
    <w:rsid w:val="70531E2E"/>
    <w:rsid w:val="7079557E"/>
    <w:rsid w:val="70A26911"/>
    <w:rsid w:val="71025602"/>
    <w:rsid w:val="726F4F19"/>
    <w:rsid w:val="72DB71F4"/>
    <w:rsid w:val="751A116C"/>
    <w:rsid w:val="75A924F0"/>
    <w:rsid w:val="76FC35FD"/>
    <w:rsid w:val="77D050B2"/>
    <w:rsid w:val="792702FB"/>
    <w:rsid w:val="79985C88"/>
    <w:rsid w:val="79F04B91"/>
    <w:rsid w:val="79F301DD"/>
    <w:rsid w:val="7DD30A52"/>
    <w:rsid w:val="7DF0386D"/>
    <w:rsid w:val="7EEA264E"/>
    <w:rsid w:val="7FCC5758"/>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rPr>
      <w:rFonts w:eastAsia="宋体"/>
      <w:sz w:val="28"/>
    </w:rPr>
  </w:style>
  <w:style w:type="paragraph" w:styleId="4">
    <w:name w:val="Normal Indent"/>
    <w:basedOn w:val="1"/>
    <w:unhideWhenUsed/>
    <w:qFormat/>
    <w:uiPriority w:val="99"/>
    <w:pPr>
      <w:ind w:firstLine="420"/>
    </w:pPr>
    <w:rPr>
      <w:rFonts w:eastAsia="宋体"/>
      <w:sz w:val="21"/>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19"/>
    <w:qFormat/>
    <w:uiPriority w:val="10"/>
    <w:pPr>
      <w:spacing w:before="240" w:after="60"/>
      <w:jc w:val="center"/>
      <w:outlineLvl w:val="0"/>
    </w:pPr>
    <w:rPr>
      <w:rFonts w:ascii="Cambria" w:hAnsi="Cambria" w:eastAsia="宋体"/>
      <w:b/>
      <w:bCs/>
      <w:sz w:val="32"/>
      <w:szCs w:val="32"/>
    </w:rPr>
  </w:style>
  <w:style w:type="paragraph" w:styleId="12">
    <w:name w:val="Body Text First Indent 2"/>
    <w:basedOn w:val="5"/>
    <w:unhideWhenUsed/>
    <w:qFormat/>
    <w:uiPriority w:val="99"/>
    <w:pPr>
      <w:ind w:left="420" w:firstLine="420" w:firstLineChars="200"/>
    </w:p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9"/>
    <w:semiHidden/>
    <w:qFormat/>
    <w:uiPriority w:val="99"/>
    <w:rPr>
      <w:sz w:val="18"/>
      <w:szCs w:val="18"/>
    </w:rPr>
  </w:style>
  <w:style w:type="character" w:customStyle="1" w:styleId="17">
    <w:name w:val="页脚 Char"/>
    <w:basedOn w:val="15"/>
    <w:link w:val="8"/>
    <w:semiHidden/>
    <w:qFormat/>
    <w:uiPriority w:val="99"/>
    <w:rPr>
      <w:sz w:val="18"/>
      <w:szCs w:val="18"/>
    </w:rPr>
  </w:style>
  <w:style w:type="paragraph" w:customStyle="1" w:styleId="18">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19">
    <w:name w:val="标题 Char"/>
    <w:basedOn w:val="15"/>
    <w:link w:val="11"/>
    <w:qFormat/>
    <w:uiPriority w:val="10"/>
    <w:rPr>
      <w:rFonts w:ascii="Cambria" w:hAnsi="Cambria" w:eastAsia="宋体" w:cs="Times New Roman"/>
      <w:b/>
      <w:bCs/>
      <w:sz w:val="32"/>
      <w:szCs w:val="32"/>
    </w:rPr>
  </w:style>
  <w:style w:type="paragraph" w:customStyle="1" w:styleId="20">
    <w:name w:val="列出段落1"/>
    <w:basedOn w:val="1"/>
    <w:qFormat/>
    <w:uiPriority w:val="34"/>
    <w:pPr>
      <w:ind w:firstLine="420" w:firstLineChars="200"/>
    </w:pPr>
  </w:style>
  <w:style w:type="paragraph" w:customStyle="1" w:styleId="2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5576</Words>
  <Characters>5768</Characters>
  <Lines>44</Lines>
  <Paragraphs>12</Paragraphs>
  <TotalTime>2</TotalTime>
  <ScaleCrop>false</ScaleCrop>
  <LinksUpToDate>false</LinksUpToDate>
  <CharactersWithSpaces>6665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2023-01-03T06:47:00Z</cp:lastPrinted>
  <dcterms:modified xsi:type="dcterms:W3CDTF">2023-01-10T02:46:57Z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882C2417D2914CE380D7E414C8D43DE1</vt:lpwstr>
  </property>
</Properties>
</file>